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Pr="00B56E61" w:rsidRDefault="00A31659" w:rsidP="000A11AE">
      <w:pPr>
        <w:jc w:val="right"/>
        <w:outlineLvl w:val="0"/>
        <w:rPr>
          <w:b/>
          <w:color w:val="2D329B"/>
          <w:sz w:val="18"/>
          <w:lang w:val="en-US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B56E61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B56E61" w:rsidRDefault="00A31659" w:rsidP="00172FBC">
            <w:pPr>
              <w:rPr>
                <w:b/>
                <w:color w:val="2D329B"/>
                <w:sz w:val="16"/>
                <w:szCs w:val="16"/>
              </w:rPr>
            </w:pPr>
            <w:r w:rsidRPr="00B56E61">
              <w:rPr>
                <w:b/>
                <w:noProof/>
                <w:color w:val="2D329B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B56E61" w:rsidRDefault="00A31659" w:rsidP="00B56E61">
            <w:pPr>
              <w:ind w:left="477" w:firstLine="1613"/>
              <w:rPr>
                <w:rFonts w:eastAsiaTheme="minorHAnsi"/>
                <w:b/>
                <w:color w:val="2D329B"/>
                <w:lang w:eastAsia="en-US"/>
              </w:rPr>
            </w:pPr>
            <w:r w:rsidRPr="00B56E61">
              <w:rPr>
                <w:rFonts w:eastAsiaTheme="minorHAnsi"/>
                <w:b/>
                <w:color w:val="2D329B"/>
                <w:lang w:eastAsia="en-US"/>
              </w:rPr>
              <w:t>УТВЕРЖДАЮ:</w:t>
            </w:r>
          </w:p>
          <w:p w:rsidR="00A31659" w:rsidRPr="00B56E61" w:rsidRDefault="00A31659" w:rsidP="00B56E61">
            <w:pPr>
              <w:ind w:left="477" w:firstLine="1613"/>
              <w:outlineLvl w:val="0"/>
              <w:rPr>
                <w:rFonts w:eastAsiaTheme="minorHAnsi"/>
                <w:color w:val="2D329B"/>
                <w:lang w:eastAsia="en-US"/>
              </w:rPr>
            </w:pPr>
            <w:r w:rsidRPr="00B56E61">
              <w:rPr>
                <w:rFonts w:eastAsiaTheme="minorHAnsi"/>
                <w:color w:val="2D329B"/>
                <w:lang w:eastAsia="en-US"/>
              </w:rPr>
              <w:t>Генеральный директор</w:t>
            </w:r>
          </w:p>
          <w:p w:rsidR="00A31659" w:rsidRPr="00B56E61" w:rsidRDefault="00A31659" w:rsidP="00B56E61">
            <w:pPr>
              <w:ind w:left="477" w:firstLine="1613"/>
              <w:rPr>
                <w:rFonts w:eastAsiaTheme="minorHAnsi"/>
                <w:color w:val="2D329B"/>
                <w:lang w:eastAsia="en-US"/>
              </w:rPr>
            </w:pPr>
            <w:r w:rsidRPr="00B56E61">
              <w:rPr>
                <w:rFonts w:eastAsiaTheme="minorHAnsi"/>
                <w:color w:val="2D329B"/>
                <w:lang w:eastAsia="en-US"/>
              </w:rPr>
              <w:t>АО «Сервис-Реестр»</w:t>
            </w:r>
          </w:p>
          <w:p w:rsidR="00A31659" w:rsidRPr="00B56E61" w:rsidRDefault="00A31659" w:rsidP="00B56E61">
            <w:pPr>
              <w:ind w:left="477" w:firstLine="1613"/>
              <w:rPr>
                <w:rFonts w:eastAsiaTheme="minorHAnsi"/>
                <w:color w:val="2D329B"/>
                <w:lang w:eastAsia="en-US"/>
              </w:rPr>
            </w:pPr>
            <w:r w:rsidRPr="00B56E61">
              <w:rPr>
                <w:rFonts w:eastAsiaTheme="minorHAnsi"/>
                <w:color w:val="2D329B"/>
                <w:lang w:eastAsia="en-US"/>
              </w:rPr>
              <w:t>Н.В. Щербак</w:t>
            </w:r>
          </w:p>
          <w:p w:rsidR="00A31659" w:rsidRPr="00B56E61" w:rsidRDefault="00A31659" w:rsidP="00B56E61">
            <w:pPr>
              <w:ind w:left="477" w:firstLine="1613"/>
              <w:rPr>
                <w:rFonts w:eastAsiaTheme="minorHAnsi"/>
                <w:color w:val="2D329B"/>
                <w:lang w:eastAsia="en-US"/>
              </w:rPr>
            </w:pPr>
          </w:p>
          <w:p w:rsidR="00A31659" w:rsidRPr="00B56E61" w:rsidRDefault="00451EDA" w:rsidP="00B56E61">
            <w:pPr>
              <w:ind w:left="477" w:firstLine="1613"/>
              <w:rPr>
                <w:rFonts w:eastAsiaTheme="minorHAnsi"/>
                <w:color w:val="2D329B"/>
                <w:lang w:eastAsia="en-US"/>
              </w:rPr>
            </w:pPr>
            <w:r w:rsidRPr="00B56E61">
              <w:rPr>
                <w:color w:val="2D329B"/>
              </w:rPr>
              <w:t xml:space="preserve">Приказ от </w:t>
            </w:r>
            <w:r w:rsidR="00B56E61" w:rsidRPr="00B56E61">
              <w:rPr>
                <w:color w:val="2D329B"/>
              </w:rPr>
              <w:t>20.11.</w:t>
            </w:r>
            <w:r w:rsidRPr="00B56E61">
              <w:rPr>
                <w:color w:val="2D329B"/>
              </w:rPr>
              <w:t xml:space="preserve">2023 № </w:t>
            </w:r>
            <w:r w:rsidR="00B56E61" w:rsidRPr="00B56E61">
              <w:rPr>
                <w:color w:val="2D329B"/>
              </w:rPr>
              <w:t>225</w:t>
            </w:r>
          </w:p>
          <w:p w:rsidR="00A31659" w:rsidRPr="00B56E61" w:rsidRDefault="00A31659" w:rsidP="00172FBC">
            <w:pPr>
              <w:ind w:hanging="104"/>
              <w:jc w:val="right"/>
              <w:rPr>
                <w:b/>
                <w:color w:val="2D329B"/>
                <w:sz w:val="16"/>
                <w:szCs w:val="16"/>
              </w:rPr>
            </w:pPr>
          </w:p>
        </w:tc>
      </w:tr>
      <w:tr w:rsidR="00A31659" w:rsidRPr="00B56E61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CF1" w:rsidRPr="00B56E61" w:rsidRDefault="005F4CF1" w:rsidP="00172FBC">
            <w:pPr>
              <w:ind w:hanging="104"/>
              <w:jc w:val="center"/>
              <w:rPr>
                <w:rFonts w:eastAsiaTheme="minorHAnsi"/>
                <w:b/>
                <w:color w:val="2D329B"/>
                <w:sz w:val="24"/>
                <w:szCs w:val="24"/>
                <w:lang w:eastAsia="en-US"/>
              </w:rPr>
            </w:pPr>
          </w:p>
          <w:p w:rsidR="00A31659" w:rsidRPr="00B56E61" w:rsidRDefault="00A31659" w:rsidP="00172FBC">
            <w:pPr>
              <w:ind w:hanging="104"/>
              <w:jc w:val="center"/>
              <w:rPr>
                <w:rFonts w:eastAsiaTheme="minorHAnsi"/>
                <w:b/>
                <w:color w:val="2D329B"/>
                <w:sz w:val="24"/>
                <w:szCs w:val="24"/>
                <w:lang w:eastAsia="en-US"/>
              </w:rPr>
            </w:pPr>
            <w:r w:rsidRPr="00B56E61">
              <w:rPr>
                <w:rFonts w:eastAsiaTheme="minorHAnsi"/>
                <w:b/>
                <w:color w:val="2D329B"/>
                <w:sz w:val="24"/>
                <w:szCs w:val="24"/>
                <w:lang w:eastAsia="en-US"/>
              </w:rPr>
              <w:t>Прейскурант АО «Сервис-Реестр»</w:t>
            </w:r>
            <w:r w:rsidR="00543BE7">
              <w:rPr>
                <w:rFonts w:eastAsiaTheme="minorHAnsi"/>
                <w:b/>
                <w:color w:val="2D329B"/>
                <w:sz w:val="24"/>
                <w:szCs w:val="24"/>
                <w:lang w:eastAsia="en-US"/>
              </w:rPr>
              <w:t xml:space="preserve"> </w:t>
            </w:r>
            <w:r w:rsidRPr="00B56E61">
              <w:rPr>
                <w:rFonts w:eastAsiaTheme="minorHAnsi"/>
                <w:b/>
                <w:color w:val="2D329B"/>
                <w:sz w:val="24"/>
                <w:szCs w:val="24"/>
                <w:lang w:eastAsia="en-US"/>
              </w:rPr>
              <w:t>на оказание услуг</w:t>
            </w:r>
            <w:r w:rsidR="005F4CF1" w:rsidRPr="00B56E61">
              <w:rPr>
                <w:rFonts w:eastAsiaTheme="minorHAnsi"/>
                <w:b/>
                <w:color w:val="2D329B"/>
                <w:sz w:val="24"/>
                <w:szCs w:val="24"/>
                <w:lang w:eastAsia="en-US"/>
              </w:rPr>
              <w:t xml:space="preserve"> </w:t>
            </w:r>
            <w:r w:rsidRPr="00B56E61">
              <w:rPr>
                <w:rFonts w:eastAsiaTheme="minorHAnsi"/>
                <w:b/>
                <w:color w:val="2D329B"/>
                <w:sz w:val="24"/>
                <w:szCs w:val="24"/>
                <w:lang w:eastAsia="en-US"/>
              </w:rPr>
              <w:t>по ведению реестра владельцев ценных бумаг</w:t>
            </w:r>
            <w:r w:rsidR="00FF52AD" w:rsidRPr="00B56E61">
              <w:rPr>
                <w:rFonts w:eastAsiaTheme="minorHAnsi"/>
                <w:b/>
                <w:color w:val="2D329B"/>
                <w:sz w:val="24"/>
                <w:szCs w:val="24"/>
                <w:lang w:eastAsia="en-US"/>
              </w:rPr>
              <w:t xml:space="preserve"> </w:t>
            </w:r>
            <w:r w:rsidR="005A5124" w:rsidRPr="00B56E61">
              <w:rPr>
                <w:rFonts w:eastAsiaTheme="minorHAnsi"/>
                <w:b/>
                <w:color w:val="2D329B"/>
                <w:sz w:val="24"/>
                <w:szCs w:val="24"/>
                <w:lang w:eastAsia="en-US"/>
              </w:rPr>
              <w:t xml:space="preserve">для зарегистрированных лиц </w:t>
            </w:r>
            <w:r w:rsidR="00BF1EF3" w:rsidRPr="00B56E61">
              <w:rPr>
                <w:rFonts w:eastAsiaTheme="minorHAnsi"/>
                <w:b/>
                <w:color w:val="2D329B"/>
                <w:sz w:val="24"/>
                <w:szCs w:val="24"/>
                <w:lang w:eastAsia="en-US"/>
              </w:rPr>
              <w:t>следующих эмитентов:</w:t>
            </w:r>
          </w:p>
          <w:p w:rsidR="005F4CF1" w:rsidRPr="00B56E61" w:rsidRDefault="0047300B" w:rsidP="005F4CF1">
            <w:pPr>
              <w:spacing w:before="120"/>
              <w:ind w:hanging="102"/>
              <w:jc w:val="center"/>
              <w:rPr>
                <w:rFonts w:eastAsiaTheme="minorHAnsi"/>
                <w:color w:val="2D329B"/>
                <w:sz w:val="22"/>
                <w:szCs w:val="24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22"/>
                <w:szCs w:val="24"/>
                <w:lang w:eastAsia="en-US"/>
              </w:rPr>
              <w:t>АО «КДВ», АО «</w:t>
            </w:r>
            <w:proofErr w:type="spellStart"/>
            <w:r w:rsidRPr="00B56E61">
              <w:rPr>
                <w:rFonts w:eastAsiaTheme="minorHAnsi"/>
                <w:color w:val="2D329B"/>
                <w:sz w:val="22"/>
                <w:szCs w:val="24"/>
                <w:lang w:eastAsia="en-US"/>
              </w:rPr>
              <w:t>Кондитерус</w:t>
            </w:r>
            <w:proofErr w:type="spellEnd"/>
            <w:r w:rsidRPr="00B56E61">
              <w:rPr>
                <w:rFonts w:eastAsiaTheme="minorHAnsi"/>
                <w:color w:val="2D329B"/>
                <w:sz w:val="22"/>
                <w:szCs w:val="24"/>
                <w:lang w:eastAsia="en-US"/>
              </w:rPr>
              <w:t xml:space="preserve"> Ком», ЗАО «</w:t>
            </w:r>
            <w:proofErr w:type="spellStart"/>
            <w:r w:rsidRPr="00B56E61">
              <w:rPr>
                <w:rFonts w:eastAsiaTheme="minorHAnsi"/>
                <w:color w:val="2D329B"/>
                <w:sz w:val="22"/>
                <w:szCs w:val="24"/>
                <w:lang w:eastAsia="en-US"/>
              </w:rPr>
              <w:t>Бриджтаун</w:t>
            </w:r>
            <w:proofErr w:type="spellEnd"/>
            <w:r w:rsidRPr="00B56E61">
              <w:rPr>
                <w:rFonts w:eastAsiaTheme="minorHAnsi"/>
                <w:color w:val="2D329B"/>
                <w:sz w:val="22"/>
                <w:szCs w:val="24"/>
                <w:lang w:eastAsia="en-US"/>
              </w:rPr>
              <w:t xml:space="preserve"> Фудс», АО «Галерея вкусов», ОАО «КДВ Кемерово», ЗАО «КДВ Павловский Посад», ОАО «Кемеровский кондитерский комбинат», </w:t>
            </w:r>
          </w:p>
          <w:p w:rsidR="005F4CF1" w:rsidRPr="00B56E61" w:rsidRDefault="0047300B" w:rsidP="004824CA">
            <w:pPr>
              <w:ind w:hanging="104"/>
              <w:jc w:val="center"/>
              <w:rPr>
                <w:rFonts w:eastAsiaTheme="minorHAnsi"/>
                <w:color w:val="2D329B"/>
                <w:sz w:val="22"/>
                <w:szCs w:val="24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22"/>
                <w:szCs w:val="24"/>
                <w:lang w:eastAsia="en-US"/>
              </w:rPr>
              <w:t xml:space="preserve">АО «Корса», ЗАО «Кузбасский пищекомбинат», АО КФ «Красная Звезда», </w:t>
            </w:r>
          </w:p>
          <w:p w:rsidR="00827BC5" w:rsidRDefault="0047300B" w:rsidP="005F4CF1">
            <w:pPr>
              <w:ind w:hanging="104"/>
              <w:jc w:val="center"/>
              <w:rPr>
                <w:rFonts w:eastAsiaTheme="minorHAnsi"/>
                <w:color w:val="2D329B"/>
                <w:sz w:val="22"/>
                <w:szCs w:val="24"/>
                <w:lang w:val="en-US" w:eastAsia="en-US"/>
              </w:rPr>
            </w:pPr>
            <w:r w:rsidRPr="00B56E61">
              <w:rPr>
                <w:rFonts w:eastAsiaTheme="minorHAnsi"/>
                <w:color w:val="2D329B"/>
                <w:sz w:val="22"/>
                <w:szCs w:val="24"/>
                <w:lang w:eastAsia="en-US"/>
              </w:rPr>
              <w:t xml:space="preserve">АО «Оператор </w:t>
            </w:r>
            <w:proofErr w:type="spellStart"/>
            <w:r w:rsidRPr="00B56E61">
              <w:rPr>
                <w:rFonts w:eastAsiaTheme="minorHAnsi"/>
                <w:color w:val="2D329B"/>
                <w:sz w:val="22"/>
                <w:szCs w:val="24"/>
                <w:lang w:eastAsia="en-US"/>
              </w:rPr>
              <w:t>маркет</w:t>
            </w:r>
            <w:proofErr w:type="spellEnd"/>
            <w:r w:rsidRPr="00B56E61">
              <w:rPr>
                <w:rFonts w:eastAsiaTheme="minorHAnsi"/>
                <w:color w:val="2D329B"/>
                <w:sz w:val="22"/>
                <w:szCs w:val="24"/>
                <w:lang w:eastAsia="en-US"/>
              </w:rPr>
              <w:t xml:space="preserve">», </w:t>
            </w:r>
            <w:bookmarkStart w:id="0" w:name="_GoBack"/>
            <w:bookmarkEnd w:id="0"/>
            <w:r w:rsidRPr="00B56E61">
              <w:rPr>
                <w:rFonts w:eastAsiaTheme="minorHAnsi"/>
                <w:color w:val="2D329B"/>
                <w:sz w:val="22"/>
                <w:szCs w:val="24"/>
                <w:lang w:eastAsia="en-US"/>
              </w:rPr>
              <w:t>АО «</w:t>
            </w:r>
            <w:proofErr w:type="spellStart"/>
            <w:r w:rsidRPr="00B56E61">
              <w:rPr>
                <w:rFonts w:eastAsiaTheme="minorHAnsi"/>
                <w:color w:val="2D329B"/>
                <w:sz w:val="22"/>
                <w:szCs w:val="24"/>
                <w:lang w:eastAsia="en-US"/>
              </w:rPr>
              <w:t>Ростпозитив</w:t>
            </w:r>
            <w:proofErr w:type="spellEnd"/>
            <w:r w:rsidRPr="00B56E61">
              <w:rPr>
                <w:rFonts w:eastAsiaTheme="minorHAnsi"/>
                <w:color w:val="2D329B"/>
                <w:sz w:val="22"/>
                <w:szCs w:val="24"/>
                <w:lang w:eastAsia="en-US"/>
              </w:rPr>
              <w:t>», АО «</w:t>
            </w:r>
            <w:proofErr w:type="spellStart"/>
            <w:r w:rsidRPr="00B56E61">
              <w:rPr>
                <w:rFonts w:eastAsiaTheme="minorHAnsi"/>
                <w:color w:val="2D329B"/>
                <w:sz w:val="22"/>
                <w:szCs w:val="24"/>
                <w:lang w:eastAsia="en-US"/>
              </w:rPr>
              <w:t>РостПозитивИмпульс</w:t>
            </w:r>
            <w:proofErr w:type="spellEnd"/>
            <w:r w:rsidRPr="00B56E61">
              <w:rPr>
                <w:rFonts w:eastAsiaTheme="minorHAnsi"/>
                <w:color w:val="2D329B"/>
                <w:sz w:val="22"/>
                <w:szCs w:val="24"/>
                <w:lang w:eastAsia="en-US"/>
              </w:rPr>
              <w:t>»</w:t>
            </w:r>
          </w:p>
          <w:p w:rsidR="00543BE7" w:rsidRPr="00543BE7" w:rsidRDefault="00543BE7" w:rsidP="00543BE7">
            <w:pPr>
              <w:rPr>
                <w:rFonts w:eastAsiaTheme="minorHAnsi"/>
                <w:color w:val="2D329B"/>
                <w:sz w:val="22"/>
                <w:szCs w:val="18"/>
                <w:lang w:eastAsia="en-US"/>
              </w:rPr>
            </w:pPr>
          </w:p>
        </w:tc>
      </w:tr>
      <w:tr w:rsidR="00A31659" w:rsidRPr="00B56E61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B56E61" w:rsidRDefault="000B4DC8" w:rsidP="00587E3E">
            <w:pPr>
              <w:ind w:hanging="104"/>
              <w:jc w:val="right"/>
              <w:rPr>
                <w:rFonts w:eastAsiaTheme="minorHAnsi"/>
                <w:b/>
                <w:color w:val="2D329B"/>
                <w:lang w:eastAsia="en-US"/>
              </w:rPr>
            </w:pPr>
          </w:p>
          <w:p w:rsidR="00A31659" w:rsidRPr="00B56E61" w:rsidRDefault="00451EDA" w:rsidP="00130BF6">
            <w:pPr>
              <w:ind w:hanging="104"/>
              <w:jc w:val="right"/>
              <w:rPr>
                <w:rFonts w:eastAsiaTheme="minorHAnsi"/>
                <w:b/>
                <w:color w:val="2D329B"/>
                <w:lang w:eastAsia="en-US"/>
              </w:rPr>
            </w:pPr>
            <w:r w:rsidRPr="00B56E61">
              <w:rPr>
                <w:b/>
                <w:color w:val="2D329B"/>
              </w:rPr>
              <w:t xml:space="preserve">Вводится в действие с </w:t>
            </w:r>
            <w:r w:rsidR="00130BF6">
              <w:rPr>
                <w:b/>
                <w:color w:val="2D329B"/>
              </w:rPr>
              <w:t>24</w:t>
            </w:r>
            <w:r w:rsidR="00B56E61" w:rsidRPr="00B56E61">
              <w:rPr>
                <w:b/>
                <w:color w:val="2D329B"/>
              </w:rPr>
              <w:t xml:space="preserve"> ноября 2023</w:t>
            </w:r>
          </w:p>
        </w:tc>
      </w:tr>
    </w:tbl>
    <w:p w:rsidR="00A31659" w:rsidRPr="00B56E61" w:rsidRDefault="00A31659" w:rsidP="000A11AE">
      <w:pPr>
        <w:jc w:val="right"/>
        <w:outlineLvl w:val="0"/>
        <w:rPr>
          <w:b/>
          <w:color w:val="2D329B"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6237"/>
        <w:gridCol w:w="3024"/>
      </w:tblGrid>
      <w:tr w:rsidR="00B13CD3" w:rsidRPr="00B56E61" w:rsidTr="004608FC">
        <w:trPr>
          <w:trHeight w:val="397"/>
          <w:tblHeader/>
        </w:trPr>
        <w:tc>
          <w:tcPr>
            <w:tcW w:w="862" w:type="dxa"/>
            <w:vAlign w:val="center"/>
          </w:tcPr>
          <w:p w:rsidR="00B13CD3" w:rsidRPr="00B56E61" w:rsidRDefault="00A31659" w:rsidP="004608FC">
            <w:pPr>
              <w:ind w:hanging="70"/>
              <w:jc w:val="center"/>
              <w:rPr>
                <w:rFonts w:eastAsiaTheme="minorHAnsi"/>
                <w:b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b/>
                <w:color w:val="2D329B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B56E61">
              <w:rPr>
                <w:rFonts w:eastAsiaTheme="minorHAnsi"/>
                <w:b/>
                <w:color w:val="2D329B"/>
                <w:sz w:val="18"/>
                <w:szCs w:val="18"/>
                <w:lang w:eastAsia="en-US"/>
              </w:rPr>
              <w:t>п</w:t>
            </w:r>
            <w:proofErr w:type="gramEnd"/>
            <w:r w:rsidRPr="00B56E61">
              <w:rPr>
                <w:rFonts w:eastAsiaTheme="minorHAnsi"/>
                <w:b/>
                <w:color w:val="2D329B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237" w:type="dxa"/>
            <w:vAlign w:val="center"/>
          </w:tcPr>
          <w:p w:rsidR="00B13CD3" w:rsidRPr="00B56E61" w:rsidRDefault="00B13CD3" w:rsidP="008F550A">
            <w:pPr>
              <w:ind w:hanging="70"/>
              <w:jc w:val="center"/>
              <w:rPr>
                <w:rFonts w:eastAsiaTheme="minorHAnsi"/>
                <w:b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b/>
                <w:color w:val="2D329B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3024" w:type="dxa"/>
            <w:vAlign w:val="center"/>
          </w:tcPr>
          <w:p w:rsidR="00B13CD3" w:rsidRPr="00B56E61" w:rsidRDefault="00B13CD3" w:rsidP="00826BF2">
            <w:pPr>
              <w:ind w:hanging="104"/>
              <w:jc w:val="center"/>
              <w:rPr>
                <w:rFonts w:eastAsiaTheme="minorHAnsi"/>
                <w:b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b/>
                <w:color w:val="2D329B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B56E61">
              <w:rPr>
                <w:rFonts w:eastAsiaTheme="minorHAnsi"/>
                <w:b/>
                <w:color w:val="2D329B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B56E61">
              <w:rPr>
                <w:rFonts w:eastAsiaTheme="minorHAnsi"/>
                <w:b/>
                <w:color w:val="2D329B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B56E61" w:rsidTr="004608FC">
        <w:trPr>
          <w:trHeight w:val="340"/>
        </w:trPr>
        <w:tc>
          <w:tcPr>
            <w:tcW w:w="862" w:type="dxa"/>
            <w:vAlign w:val="center"/>
          </w:tcPr>
          <w:p w:rsidR="00B13CD3" w:rsidRPr="00B56E61" w:rsidRDefault="00B13CD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B56E61" w:rsidRDefault="00B13CD3" w:rsidP="004608FC">
            <w:pPr>
              <w:ind w:firstLine="210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об открытии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B56E61" w:rsidTr="004608FC">
        <w:trPr>
          <w:trHeight w:val="340"/>
        </w:trPr>
        <w:tc>
          <w:tcPr>
            <w:tcW w:w="862" w:type="dxa"/>
            <w:vAlign w:val="center"/>
          </w:tcPr>
          <w:p w:rsidR="00B13CD3" w:rsidRPr="00B56E61" w:rsidRDefault="00E60C2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6237" w:type="dxa"/>
            <w:vAlign w:val="center"/>
          </w:tcPr>
          <w:p w:rsidR="00B13CD3" w:rsidRPr="00B56E61" w:rsidRDefault="00B13CD3" w:rsidP="004608FC">
            <w:pPr>
              <w:ind w:firstLine="214"/>
              <w:jc w:val="both"/>
              <w:rPr>
                <w:rFonts w:eastAsiaTheme="minorHAnsi"/>
                <w:color w:val="2D329B"/>
                <w:sz w:val="18"/>
                <w:szCs w:val="18"/>
                <w:lang w:val="en-US"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Для физических лиц</w:t>
            </w:r>
            <w:r w:rsidR="00E60C23" w:rsidRPr="00B56E61">
              <w:rPr>
                <w:rFonts w:eastAsiaTheme="minorHAnsi"/>
                <w:color w:val="2D329B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B56E61" w:rsidRDefault="00B13CD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135</w:t>
            </w:r>
            <w:r w:rsidR="00925302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B56E61" w:rsidTr="004608FC">
        <w:trPr>
          <w:trHeight w:val="340"/>
        </w:trPr>
        <w:tc>
          <w:tcPr>
            <w:tcW w:w="862" w:type="dxa"/>
            <w:vAlign w:val="center"/>
          </w:tcPr>
          <w:p w:rsidR="00B13CD3" w:rsidRPr="00B56E61" w:rsidRDefault="00E60C2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6237" w:type="dxa"/>
            <w:vAlign w:val="center"/>
          </w:tcPr>
          <w:p w:rsidR="00B13CD3" w:rsidRPr="00B56E61" w:rsidRDefault="00B13CD3" w:rsidP="004608FC">
            <w:pPr>
              <w:ind w:firstLine="214"/>
              <w:jc w:val="both"/>
              <w:rPr>
                <w:rFonts w:eastAsiaTheme="minorHAnsi"/>
                <w:color w:val="2D329B"/>
                <w:sz w:val="18"/>
                <w:szCs w:val="18"/>
                <w:lang w:val="en-US"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Для юридических лиц</w:t>
            </w:r>
            <w:r w:rsidR="00E60C23" w:rsidRPr="00B56E61">
              <w:rPr>
                <w:rFonts w:eastAsiaTheme="minorHAnsi"/>
                <w:color w:val="2D329B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B56E61" w:rsidRDefault="00B13CD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650</w:t>
            </w:r>
            <w:r w:rsidR="00925302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B56E61" w:rsidTr="004608FC">
        <w:trPr>
          <w:trHeight w:val="340"/>
        </w:trPr>
        <w:tc>
          <w:tcPr>
            <w:tcW w:w="862" w:type="dxa"/>
            <w:vAlign w:val="center"/>
          </w:tcPr>
          <w:p w:rsidR="00B13CD3" w:rsidRPr="00B56E61" w:rsidRDefault="00B13CD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B56E61" w:rsidRDefault="00B13CD3" w:rsidP="004608FC">
            <w:pPr>
              <w:ind w:firstLine="210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B56E61" w:rsidTr="004608FC">
        <w:trPr>
          <w:trHeight w:val="340"/>
        </w:trPr>
        <w:tc>
          <w:tcPr>
            <w:tcW w:w="862" w:type="dxa"/>
            <w:vAlign w:val="center"/>
          </w:tcPr>
          <w:p w:rsidR="00B13CD3" w:rsidRPr="00B56E61" w:rsidRDefault="00E60C2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6237" w:type="dxa"/>
            <w:vAlign w:val="center"/>
          </w:tcPr>
          <w:p w:rsidR="00B13CD3" w:rsidRPr="00B56E61" w:rsidRDefault="00D34A58" w:rsidP="004608FC">
            <w:pPr>
              <w:ind w:firstLine="214"/>
              <w:jc w:val="both"/>
              <w:rPr>
                <w:rFonts w:eastAsiaTheme="minorHAnsi"/>
                <w:color w:val="2D329B"/>
                <w:sz w:val="18"/>
                <w:szCs w:val="18"/>
                <w:lang w:val="en-US"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Д</w:t>
            </w:r>
            <w:r w:rsidR="00B13CD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ля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физических</w:t>
            </w:r>
            <w:r w:rsidR="00B13CD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лиц</w:t>
            </w:r>
            <w:r w:rsidR="00E60C23" w:rsidRPr="00B56E61">
              <w:rPr>
                <w:rFonts w:eastAsiaTheme="minorHAnsi"/>
                <w:color w:val="2D329B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B56E61" w:rsidRDefault="00A0626D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65</w:t>
            </w:r>
            <w:r w:rsidR="00925302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B56E61" w:rsidTr="004608FC">
        <w:trPr>
          <w:trHeight w:val="340"/>
        </w:trPr>
        <w:tc>
          <w:tcPr>
            <w:tcW w:w="862" w:type="dxa"/>
            <w:vAlign w:val="center"/>
          </w:tcPr>
          <w:p w:rsidR="00B13CD3" w:rsidRPr="00B56E61" w:rsidRDefault="00E60C2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6237" w:type="dxa"/>
            <w:vAlign w:val="center"/>
          </w:tcPr>
          <w:p w:rsidR="00B13CD3" w:rsidRPr="00B56E61" w:rsidRDefault="00D34A58" w:rsidP="004608FC">
            <w:pPr>
              <w:ind w:firstLine="214"/>
              <w:jc w:val="both"/>
              <w:rPr>
                <w:rFonts w:eastAsiaTheme="minorHAnsi"/>
                <w:color w:val="2D329B"/>
                <w:sz w:val="18"/>
                <w:szCs w:val="18"/>
                <w:lang w:val="en-US"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Д</w:t>
            </w:r>
            <w:r w:rsidR="00B13CD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ля 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юридических</w:t>
            </w:r>
            <w:r w:rsidR="00B13CD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лиц</w:t>
            </w:r>
            <w:r w:rsidR="00E60C23" w:rsidRPr="00B56E61">
              <w:rPr>
                <w:rFonts w:eastAsiaTheme="minorHAnsi"/>
                <w:color w:val="2D329B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B56E61" w:rsidRDefault="00A0626D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325</w:t>
            </w:r>
            <w:r w:rsidR="00925302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B56E61" w:rsidTr="004608FC">
        <w:trPr>
          <w:trHeight w:val="1531"/>
        </w:trPr>
        <w:tc>
          <w:tcPr>
            <w:tcW w:w="862" w:type="dxa"/>
            <w:vAlign w:val="center"/>
          </w:tcPr>
          <w:p w:rsidR="00B13CD3" w:rsidRPr="00B56E61" w:rsidRDefault="00B13CD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B56E61" w:rsidRDefault="00B13CD3" w:rsidP="004608FC">
            <w:pPr>
              <w:ind w:left="210" w:right="119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proofErr w:type="gramStart"/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ценных бумаг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 эскроу-агента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</w:t>
            </w:r>
            <w:r w:rsidR="00644269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или</w:t>
            </w:r>
            <w:r w:rsidR="00644269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внесение записей о списании ценных бумаг с лицевого счета владельца и зачислении ценных бумаг на лицевой счет номинального держателя</w:t>
            </w:r>
            <w:proofErr w:type="gramEnd"/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 номинального держателя центрального депозитария, доверительного управляющего</w:t>
            </w:r>
            <w:r w:rsidR="008F550A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 эскроу-агента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B56E61" w:rsidTr="004608FC">
        <w:trPr>
          <w:trHeight w:val="340"/>
        </w:trPr>
        <w:tc>
          <w:tcPr>
            <w:tcW w:w="862" w:type="dxa"/>
            <w:vAlign w:val="center"/>
          </w:tcPr>
          <w:p w:rsidR="00B13CD3" w:rsidRPr="00B56E61" w:rsidRDefault="00E60C2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6237" w:type="dxa"/>
            <w:vAlign w:val="center"/>
          </w:tcPr>
          <w:p w:rsidR="00B13CD3" w:rsidRPr="00B56E61" w:rsidRDefault="00B13CD3" w:rsidP="004608FC">
            <w:pPr>
              <w:ind w:firstLine="214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B56E61">
              <w:rPr>
                <w:rFonts w:eastAsiaTheme="minorHAnsi"/>
                <w:color w:val="2D329B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не более 3</w:t>
            </w:r>
            <w:r w:rsidR="00B44849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000 рублей</w:t>
            </w:r>
            <w:r w:rsidR="00E60C2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B56E61" w:rsidRDefault="00B13CD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300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B56E61" w:rsidTr="004608FC">
        <w:trPr>
          <w:trHeight w:val="340"/>
        </w:trPr>
        <w:tc>
          <w:tcPr>
            <w:tcW w:w="862" w:type="dxa"/>
            <w:vAlign w:val="center"/>
          </w:tcPr>
          <w:p w:rsidR="00B13CD3" w:rsidRPr="00B56E61" w:rsidRDefault="00E60C2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6237" w:type="dxa"/>
            <w:vAlign w:val="center"/>
          </w:tcPr>
          <w:p w:rsidR="00B13CD3" w:rsidRPr="00B56E61" w:rsidRDefault="00B13CD3" w:rsidP="004608FC">
            <w:pPr>
              <w:ind w:firstLine="214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B56E61">
              <w:rPr>
                <w:rFonts w:eastAsiaTheme="minorHAnsi"/>
                <w:color w:val="2D329B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свыше 3</w:t>
            </w:r>
            <w:r w:rsidR="00B44849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000 рублей</w:t>
            </w:r>
            <w:r w:rsidR="00E60C2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B56E61" w:rsidRDefault="00B13CD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 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000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B56E61" w:rsidTr="004608FC">
        <w:trPr>
          <w:trHeight w:val="680"/>
        </w:trPr>
        <w:tc>
          <w:tcPr>
            <w:tcW w:w="862" w:type="dxa"/>
            <w:vAlign w:val="center"/>
          </w:tcPr>
          <w:p w:rsidR="00B13CD3" w:rsidRPr="00B56E61" w:rsidRDefault="00B13CD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237" w:type="dxa"/>
            <w:vAlign w:val="center"/>
          </w:tcPr>
          <w:p w:rsidR="006A7B4C" w:rsidRPr="00B56E61" w:rsidDel="004E368A" w:rsidRDefault="00B13CD3" w:rsidP="004608FC">
            <w:pPr>
              <w:ind w:left="214" w:right="127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Внесение </w:t>
            </w:r>
            <w:r w:rsidR="00C671EC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записи по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ценных бумаг</w:t>
            </w:r>
            <w:r w:rsidR="00BA456F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B56E61" w:rsidDel="004E368A" w:rsidRDefault="00B13CD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 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500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B56E61" w:rsidTr="004608FC">
        <w:trPr>
          <w:trHeight w:val="510"/>
        </w:trPr>
        <w:tc>
          <w:tcPr>
            <w:tcW w:w="862" w:type="dxa"/>
            <w:vAlign w:val="center"/>
          </w:tcPr>
          <w:p w:rsidR="00B13CD3" w:rsidRPr="00B56E61" w:rsidRDefault="00A31659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5</w:t>
            </w:r>
            <w:r w:rsidR="00B13CD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6A7B4C" w:rsidRPr="00B56E61" w:rsidRDefault="00B13CD3" w:rsidP="004608FC">
            <w:pPr>
              <w:ind w:left="214" w:right="127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счету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B56E61" w:rsidRDefault="00B13CD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 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500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B56E61" w:rsidTr="004608FC">
        <w:trPr>
          <w:trHeight w:val="340"/>
        </w:trPr>
        <w:tc>
          <w:tcPr>
            <w:tcW w:w="862" w:type="dxa"/>
            <w:vAlign w:val="center"/>
          </w:tcPr>
          <w:p w:rsidR="00B13CD3" w:rsidRPr="00B56E61" w:rsidRDefault="00A31659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6</w:t>
            </w:r>
            <w:r w:rsidR="00B13CD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B56E61" w:rsidRDefault="00B13CD3" w:rsidP="004608FC">
            <w:pPr>
              <w:ind w:firstLine="210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B56E61" w:rsidTr="004608FC">
        <w:trPr>
          <w:trHeight w:val="340"/>
        </w:trPr>
        <w:tc>
          <w:tcPr>
            <w:tcW w:w="862" w:type="dxa"/>
            <w:vAlign w:val="center"/>
          </w:tcPr>
          <w:p w:rsidR="00B13CD3" w:rsidRPr="00B56E61" w:rsidRDefault="00E60C2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6237" w:type="dxa"/>
            <w:vAlign w:val="center"/>
          </w:tcPr>
          <w:p w:rsidR="00B13CD3" w:rsidRPr="00B56E61" w:rsidRDefault="00B13CD3" w:rsidP="004608FC">
            <w:pPr>
              <w:ind w:firstLine="214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B56E61" w:rsidRDefault="00B13CD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270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B56E61" w:rsidTr="004608FC">
        <w:trPr>
          <w:trHeight w:val="340"/>
        </w:trPr>
        <w:tc>
          <w:tcPr>
            <w:tcW w:w="862" w:type="dxa"/>
            <w:vAlign w:val="center"/>
          </w:tcPr>
          <w:p w:rsidR="00B13CD3" w:rsidRPr="00B56E61" w:rsidRDefault="00E60C2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6237" w:type="dxa"/>
            <w:vAlign w:val="center"/>
          </w:tcPr>
          <w:p w:rsidR="00B13CD3" w:rsidRPr="00B56E61" w:rsidRDefault="00B13CD3" w:rsidP="004608FC">
            <w:pPr>
              <w:ind w:firstLine="214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B56E61" w:rsidRDefault="00B13CD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135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B56E61" w:rsidTr="004608FC">
        <w:trPr>
          <w:trHeight w:val="340"/>
        </w:trPr>
        <w:tc>
          <w:tcPr>
            <w:tcW w:w="862" w:type="dxa"/>
            <w:vAlign w:val="center"/>
          </w:tcPr>
          <w:p w:rsidR="00B13CD3" w:rsidRPr="00B56E61" w:rsidRDefault="00A31659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7</w:t>
            </w:r>
            <w:r w:rsidR="00B13CD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B56E61" w:rsidRDefault="00B13CD3" w:rsidP="004608FC">
            <w:pPr>
              <w:ind w:firstLine="214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B56E61" w:rsidTr="004608FC">
        <w:trPr>
          <w:trHeight w:val="340"/>
        </w:trPr>
        <w:tc>
          <w:tcPr>
            <w:tcW w:w="862" w:type="dxa"/>
            <w:vAlign w:val="center"/>
          </w:tcPr>
          <w:p w:rsidR="00B13CD3" w:rsidRPr="00B56E61" w:rsidRDefault="00E60C2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6237" w:type="dxa"/>
            <w:vAlign w:val="center"/>
          </w:tcPr>
          <w:p w:rsidR="00B13CD3" w:rsidRPr="00B56E61" w:rsidRDefault="00B13CD3" w:rsidP="004608FC">
            <w:pPr>
              <w:ind w:firstLine="214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B56E61" w:rsidRDefault="00B13CD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270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B56E61" w:rsidTr="004608FC">
        <w:trPr>
          <w:trHeight w:val="340"/>
        </w:trPr>
        <w:tc>
          <w:tcPr>
            <w:tcW w:w="862" w:type="dxa"/>
            <w:vAlign w:val="center"/>
          </w:tcPr>
          <w:p w:rsidR="00B13CD3" w:rsidRPr="00B56E61" w:rsidRDefault="00E60C2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7.2.</w:t>
            </w:r>
          </w:p>
        </w:tc>
        <w:tc>
          <w:tcPr>
            <w:tcW w:w="6237" w:type="dxa"/>
            <w:vAlign w:val="center"/>
          </w:tcPr>
          <w:p w:rsidR="00B13CD3" w:rsidRPr="00B56E61" w:rsidRDefault="00B13CD3" w:rsidP="004608FC">
            <w:pPr>
              <w:ind w:firstLine="214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B56E61" w:rsidRDefault="00B13CD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135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B56E61" w:rsidTr="004608FC">
        <w:trPr>
          <w:trHeight w:val="340"/>
        </w:trPr>
        <w:tc>
          <w:tcPr>
            <w:tcW w:w="862" w:type="dxa"/>
            <w:vAlign w:val="center"/>
          </w:tcPr>
          <w:p w:rsidR="00B13CD3" w:rsidRPr="00B56E61" w:rsidRDefault="00A31659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8</w:t>
            </w:r>
            <w:r w:rsidR="00B13CD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B56E61" w:rsidRDefault="00B13CD3" w:rsidP="004608FC">
            <w:pPr>
              <w:ind w:firstLine="210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Выдача по распоряжению зарегистрированного лица уведомления о</w:t>
            </w:r>
            <w:r w:rsidR="00644269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совершении операции по лицевому счету:</w:t>
            </w:r>
          </w:p>
        </w:tc>
      </w:tr>
      <w:tr w:rsidR="00B13CD3" w:rsidRPr="00B56E61" w:rsidTr="004608FC">
        <w:trPr>
          <w:trHeight w:val="340"/>
        </w:trPr>
        <w:tc>
          <w:tcPr>
            <w:tcW w:w="862" w:type="dxa"/>
            <w:vAlign w:val="center"/>
          </w:tcPr>
          <w:p w:rsidR="00B13CD3" w:rsidRPr="00B56E61" w:rsidRDefault="00E60C2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8.1.</w:t>
            </w:r>
          </w:p>
        </w:tc>
        <w:tc>
          <w:tcPr>
            <w:tcW w:w="6237" w:type="dxa"/>
            <w:vAlign w:val="center"/>
          </w:tcPr>
          <w:p w:rsidR="00B13CD3" w:rsidRPr="00B56E61" w:rsidRDefault="00B13CD3" w:rsidP="004608FC">
            <w:pPr>
              <w:ind w:firstLine="214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B56E61" w:rsidRDefault="00B13CD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270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B56E61" w:rsidTr="004608FC">
        <w:trPr>
          <w:trHeight w:val="340"/>
        </w:trPr>
        <w:tc>
          <w:tcPr>
            <w:tcW w:w="862" w:type="dxa"/>
            <w:vAlign w:val="center"/>
          </w:tcPr>
          <w:p w:rsidR="00B13CD3" w:rsidRPr="00B56E61" w:rsidRDefault="00E60C2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8.2.</w:t>
            </w:r>
          </w:p>
        </w:tc>
        <w:tc>
          <w:tcPr>
            <w:tcW w:w="6237" w:type="dxa"/>
            <w:vAlign w:val="center"/>
          </w:tcPr>
          <w:p w:rsidR="00B13CD3" w:rsidRPr="00B56E61" w:rsidRDefault="00B13CD3" w:rsidP="004608FC">
            <w:pPr>
              <w:ind w:firstLine="214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B56E61" w:rsidRDefault="00B13CD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135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B56E61" w:rsidTr="004608FC">
        <w:trPr>
          <w:trHeight w:val="510"/>
        </w:trPr>
        <w:tc>
          <w:tcPr>
            <w:tcW w:w="862" w:type="dxa"/>
            <w:vAlign w:val="center"/>
          </w:tcPr>
          <w:p w:rsidR="00B13CD3" w:rsidRPr="00B56E61" w:rsidRDefault="00A31659" w:rsidP="004608FC">
            <w:pPr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9</w:t>
            </w:r>
            <w:r w:rsidR="00B13CD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B56E61" w:rsidRDefault="00EE618B" w:rsidP="005538E9">
            <w:pPr>
              <w:ind w:left="214" w:hanging="4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совершенных по</w:t>
            </w:r>
            <w:r w:rsidR="00B13CD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его </w:t>
            </w:r>
            <w:r w:rsidR="00B13CD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лицевому счету</w:t>
            </w:r>
            <w:r w:rsidR="00180C90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B56E61" w:rsidTr="004608FC">
        <w:trPr>
          <w:trHeight w:val="1701"/>
        </w:trPr>
        <w:tc>
          <w:tcPr>
            <w:tcW w:w="862" w:type="dxa"/>
            <w:vAlign w:val="center"/>
          </w:tcPr>
          <w:p w:rsidR="00B13CD3" w:rsidRPr="00B56E61" w:rsidRDefault="00E60C2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lastRenderedPageBreak/>
              <w:t>9.1.</w:t>
            </w:r>
          </w:p>
        </w:tc>
        <w:tc>
          <w:tcPr>
            <w:tcW w:w="6237" w:type="dxa"/>
            <w:vAlign w:val="center"/>
          </w:tcPr>
          <w:p w:rsidR="00B13CD3" w:rsidRPr="00B56E61" w:rsidRDefault="00B13CD3" w:rsidP="004608FC">
            <w:pPr>
              <w:ind w:firstLine="214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CF1C90" w:rsidRPr="00B56E61" w:rsidRDefault="00B13CD3" w:rsidP="004608FC">
            <w:pPr>
              <w:ind w:firstLine="17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270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  <w:p w:rsidR="00CF1C90" w:rsidRPr="00B56E61" w:rsidRDefault="005E0F94" w:rsidP="004608FC">
            <w:pPr>
              <w:ind w:firstLine="17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proofErr w:type="gramStart"/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за</w:t>
            </w:r>
            <w:r w:rsidR="00B13CD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и</w:t>
            </w:r>
            <w:r w:rsidR="00B13CD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й (содержащую) не более четырех записей об операциях, совершенных по лицевому счету,</w:t>
            </w:r>
            <w:proofErr w:type="gramEnd"/>
          </w:p>
          <w:p w:rsidR="00CF1C90" w:rsidRPr="00B56E61" w:rsidRDefault="00B13CD3" w:rsidP="004608FC">
            <w:pPr>
              <w:ind w:firstLine="17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плюс 65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за каждую последующую такую запись, но не более 2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 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750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  <w:p w:rsidR="00B13CD3" w:rsidRPr="00B56E61" w:rsidRDefault="00B13CD3" w:rsidP="004608FC">
            <w:pPr>
              <w:ind w:firstLine="17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B56E61" w:rsidTr="004608FC">
        <w:trPr>
          <w:trHeight w:val="1701"/>
        </w:trPr>
        <w:tc>
          <w:tcPr>
            <w:tcW w:w="862" w:type="dxa"/>
            <w:vAlign w:val="center"/>
          </w:tcPr>
          <w:p w:rsidR="00B13CD3" w:rsidRPr="00B56E61" w:rsidRDefault="00E60C2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9.2.</w:t>
            </w:r>
          </w:p>
        </w:tc>
        <w:tc>
          <w:tcPr>
            <w:tcW w:w="6237" w:type="dxa"/>
            <w:vAlign w:val="center"/>
          </w:tcPr>
          <w:p w:rsidR="00B13CD3" w:rsidRPr="00B56E61" w:rsidRDefault="00B13CD3" w:rsidP="004608FC">
            <w:pPr>
              <w:ind w:firstLine="214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CF1C90" w:rsidRPr="00B56E61" w:rsidRDefault="00B13CD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135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  <w:p w:rsidR="008B6F82" w:rsidRPr="00B56E61" w:rsidRDefault="005E0F94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за отчет</w:t>
            </w:r>
            <w:r w:rsidR="00B13CD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  <w:r w:rsidR="00B13CD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за каждую последующую запись,</w:t>
            </w:r>
          </w:p>
          <w:p w:rsidR="00CF1C90" w:rsidRPr="00B56E61" w:rsidRDefault="00B13CD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но не более 1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 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375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  <w:p w:rsidR="00B13CD3" w:rsidRPr="00B56E61" w:rsidRDefault="00CF1C90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B56E61" w:rsidTr="004608FC">
        <w:trPr>
          <w:trHeight w:val="1020"/>
        </w:trPr>
        <w:tc>
          <w:tcPr>
            <w:tcW w:w="862" w:type="dxa"/>
            <w:vAlign w:val="center"/>
          </w:tcPr>
          <w:p w:rsidR="00B13CD3" w:rsidRPr="00B56E61" w:rsidRDefault="00B13CD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</w:t>
            </w:r>
            <w:r w:rsidR="00A31659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B56E61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Предоставление зарегистрированному лицу на лицевом </w:t>
            </w:r>
            <w:proofErr w:type="gramStart"/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счете</w:t>
            </w:r>
            <w:proofErr w:type="gramEnd"/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</w:t>
            </w:r>
            <w:r w:rsidR="00644269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(каждого типа), учитываемых на их лицевых счетах.</w:t>
            </w:r>
          </w:p>
        </w:tc>
        <w:tc>
          <w:tcPr>
            <w:tcW w:w="3024" w:type="dxa"/>
            <w:vAlign w:val="center"/>
          </w:tcPr>
          <w:p w:rsidR="00CF1C90" w:rsidRPr="00B56E61" w:rsidRDefault="00B13CD3" w:rsidP="004608FC">
            <w:pPr>
              <w:ind w:firstLine="17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8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 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000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  <w:p w:rsidR="008B6F82" w:rsidRPr="00B56E61" w:rsidRDefault="00B13CD3" w:rsidP="004608FC">
            <w:pPr>
              <w:ind w:firstLine="17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000 записей, плюс 1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  <w:p w:rsidR="00B13CD3" w:rsidRPr="00B56E61" w:rsidRDefault="00B13CD3" w:rsidP="004608FC">
            <w:pPr>
              <w:ind w:firstLine="17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B56E61" w:rsidTr="004608FC">
        <w:trPr>
          <w:trHeight w:val="680"/>
        </w:trPr>
        <w:tc>
          <w:tcPr>
            <w:tcW w:w="862" w:type="dxa"/>
            <w:vAlign w:val="center"/>
          </w:tcPr>
          <w:p w:rsidR="00B13CD3" w:rsidRPr="00B56E61" w:rsidRDefault="00B13CD3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</w:t>
            </w:r>
            <w:r w:rsidR="00A31659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B56E61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целях</w:t>
            </w:r>
            <w:proofErr w:type="gramEnd"/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  <w:r w:rsidR="00644269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:rsidR="00B13CD3" w:rsidRPr="00B56E61" w:rsidRDefault="00B13CD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Бесплатно</w:t>
            </w:r>
          </w:p>
        </w:tc>
      </w:tr>
      <w:tr w:rsidR="009E592C" w:rsidRPr="00B56E61" w:rsidTr="004608FC">
        <w:trPr>
          <w:trHeight w:val="680"/>
        </w:trPr>
        <w:tc>
          <w:tcPr>
            <w:tcW w:w="862" w:type="dxa"/>
            <w:vAlign w:val="center"/>
          </w:tcPr>
          <w:p w:rsidR="009E592C" w:rsidRPr="00B56E61" w:rsidRDefault="009E592C" w:rsidP="004608FC">
            <w:pPr>
              <w:ind w:firstLine="78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261" w:type="dxa"/>
            <w:gridSpan w:val="2"/>
            <w:vAlign w:val="center"/>
          </w:tcPr>
          <w:p w:rsidR="009E592C" w:rsidRPr="00B56E61" w:rsidRDefault="009E592C" w:rsidP="004608FC">
            <w:pPr>
              <w:ind w:left="209" w:right="119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 12.2. настоящего Прейскуранта), в совокупности за обе операции при стоимости ценных бумаг</w:t>
            </w:r>
            <w:proofErr w:type="gramStart"/>
            <w:r w:rsidRPr="00B56E61">
              <w:rPr>
                <w:rFonts w:eastAsiaTheme="minorHAnsi"/>
                <w:color w:val="2D329B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:</w:t>
            </w:r>
          </w:p>
        </w:tc>
      </w:tr>
      <w:tr w:rsidR="00E60C23" w:rsidRPr="00B56E61" w:rsidTr="004608FC">
        <w:trPr>
          <w:trHeight w:val="340"/>
        </w:trPr>
        <w:tc>
          <w:tcPr>
            <w:tcW w:w="862" w:type="dxa"/>
            <w:vAlign w:val="center"/>
          </w:tcPr>
          <w:p w:rsidR="00E60C23" w:rsidRPr="00B56E61" w:rsidRDefault="00E60C23" w:rsidP="004608FC">
            <w:pPr>
              <w:jc w:val="center"/>
              <w:rPr>
                <w:color w:val="2D329B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12.1.</w:t>
            </w:r>
          </w:p>
        </w:tc>
        <w:tc>
          <w:tcPr>
            <w:tcW w:w="6237" w:type="dxa"/>
            <w:vAlign w:val="center"/>
          </w:tcPr>
          <w:p w:rsidR="00E60C23" w:rsidRPr="00B56E61" w:rsidRDefault="00E60C23" w:rsidP="004608FC">
            <w:pPr>
              <w:ind w:firstLine="219"/>
              <w:jc w:val="both"/>
              <w:rPr>
                <w:rFonts w:eastAsiaTheme="minorHAnsi"/>
                <w:color w:val="2D329B"/>
                <w:sz w:val="18"/>
                <w:szCs w:val="18"/>
                <w:lang w:val="en-US"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Не более 3 000 руб.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E60C23" w:rsidRPr="00B56E61" w:rsidRDefault="00E60C2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300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B56E61" w:rsidTr="004608FC">
        <w:trPr>
          <w:trHeight w:val="340"/>
        </w:trPr>
        <w:tc>
          <w:tcPr>
            <w:tcW w:w="862" w:type="dxa"/>
            <w:vAlign w:val="center"/>
          </w:tcPr>
          <w:p w:rsidR="00E60C23" w:rsidRPr="00B56E61" w:rsidRDefault="00E60C23" w:rsidP="004608FC">
            <w:pPr>
              <w:jc w:val="center"/>
              <w:rPr>
                <w:color w:val="2D329B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12.2.</w:t>
            </w:r>
          </w:p>
        </w:tc>
        <w:tc>
          <w:tcPr>
            <w:tcW w:w="6237" w:type="dxa"/>
            <w:vAlign w:val="center"/>
          </w:tcPr>
          <w:p w:rsidR="00E60C23" w:rsidRPr="00B56E61" w:rsidRDefault="00E60C23" w:rsidP="004608FC">
            <w:pPr>
              <w:ind w:firstLine="219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Более 3 000 руб., но не более 20 000 руб.;</w:t>
            </w:r>
          </w:p>
        </w:tc>
        <w:tc>
          <w:tcPr>
            <w:tcW w:w="3024" w:type="dxa"/>
            <w:vAlign w:val="center"/>
          </w:tcPr>
          <w:p w:rsidR="00E60C23" w:rsidRPr="00B56E61" w:rsidRDefault="00E60C2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500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B56E61" w:rsidTr="004608FC">
        <w:trPr>
          <w:trHeight w:val="340"/>
        </w:trPr>
        <w:tc>
          <w:tcPr>
            <w:tcW w:w="862" w:type="dxa"/>
            <w:vAlign w:val="center"/>
          </w:tcPr>
          <w:p w:rsidR="00E60C23" w:rsidRPr="00B56E61" w:rsidRDefault="00E60C23" w:rsidP="004608FC">
            <w:pPr>
              <w:jc w:val="center"/>
              <w:rPr>
                <w:color w:val="2D329B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12.3.</w:t>
            </w:r>
          </w:p>
        </w:tc>
        <w:tc>
          <w:tcPr>
            <w:tcW w:w="6237" w:type="dxa"/>
            <w:vAlign w:val="center"/>
          </w:tcPr>
          <w:p w:rsidR="00E60C23" w:rsidRPr="00B56E61" w:rsidRDefault="00E60C23" w:rsidP="004608FC">
            <w:pPr>
              <w:ind w:firstLine="219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Более 20 000 руб., но не более 50 000 руб.;</w:t>
            </w:r>
          </w:p>
        </w:tc>
        <w:tc>
          <w:tcPr>
            <w:tcW w:w="3024" w:type="dxa"/>
            <w:vAlign w:val="center"/>
          </w:tcPr>
          <w:p w:rsidR="00E60C23" w:rsidRPr="00B56E61" w:rsidRDefault="00E60C2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2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000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B56E61" w:rsidTr="004608FC">
        <w:trPr>
          <w:trHeight w:val="340"/>
        </w:trPr>
        <w:tc>
          <w:tcPr>
            <w:tcW w:w="862" w:type="dxa"/>
            <w:vAlign w:val="center"/>
          </w:tcPr>
          <w:p w:rsidR="00E60C23" w:rsidRPr="00B56E61" w:rsidRDefault="00E60C23" w:rsidP="004608FC">
            <w:pPr>
              <w:jc w:val="center"/>
              <w:rPr>
                <w:color w:val="2D329B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12.4.</w:t>
            </w:r>
          </w:p>
        </w:tc>
        <w:tc>
          <w:tcPr>
            <w:tcW w:w="6237" w:type="dxa"/>
            <w:vAlign w:val="center"/>
          </w:tcPr>
          <w:p w:rsidR="00E60C23" w:rsidRPr="00B56E61" w:rsidRDefault="00E60C23" w:rsidP="004608FC">
            <w:pPr>
              <w:ind w:firstLine="219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Более 50 000 руб., но не более 600 000 руб.;</w:t>
            </w:r>
          </w:p>
        </w:tc>
        <w:tc>
          <w:tcPr>
            <w:tcW w:w="3024" w:type="dxa"/>
            <w:vAlign w:val="center"/>
          </w:tcPr>
          <w:p w:rsidR="00E60C23" w:rsidRPr="00B56E61" w:rsidRDefault="005A5124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</w:t>
            </w:r>
            <w:r w:rsidR="00E60C2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3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 </w:t>
            </w:r>
            <w:r w:rsidR="00E60C2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000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B56E61" w:rsidTr="004608FC">
        <w:trPr>
          <w:trHeight w:val="340"/>
        </w:trPr>
        <w:tc>
          <w:tcPr>
            <w:tcW w:w="862" w:type="dxa"/>
            <w:vAlign w:val="center"/>
          </w:tcPr>
          <w:p w:rsidR="00E60C23" w:rsidRPr="00B56E61" w:rsidRDefault="00E60C23" w:rsidP="004608FC">
            <w:pPr>
              <w:jc w:val="center"/>
              <w:rPr>
                <w:color w:val="2D329B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12.5.</w:t>
            </w:r>
          </w:p>
        </w:tc>
        <w:tc>
          <w:tcPr>
            <w:tcW w:w="6237" w:type="dxa"/>
            <w:vAlign w:val="center"/>
          </w:tcPr>
          <w:p w:rsidR="00E60C23" w:rsidRPr="00B56E61" w:rsidRDefault="00E60C23" w:rsidP="004608FC">
            <w:pPr>
              <w:ind w:firstLine="219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Более 600 000 руб., но не более 1 400 000 руб.;</w:t>
            </w:r>
          </w:p>
        </w:tc>
        <w:tc>
          <w:tcPr>
            <w:tcW w:w="3024" w:type="dxa"/>
            <w:vAlign w:val="center"/>
          </w:tcPr>
          <w:p w:rsidR="00E60C23" w:rsidRPr="00B56E61" w:rsidRDefault="005A5124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32 </w:t>
            </w:r>
            <w:r w:rsidR="00E60C2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000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B56E61" w:rsidTr="004608FC">
        <w:trPr>
          <w:trHeight w:val="340"/>
        </w:trPr>
        <w:tc>
          <w:tcPr>
            <w:tcW w:w="862" w:type="dxa"/>
            <w:vAlign w:val="center"/>
          </w:tcPr>
          <w:p w:rsidR="00E60C23" w:rsidRPr="00B56E61" w:rsidRDefault="00E60C23" w:rsidP="004608FC">
            <w:pPr>
              <w:jc w:val="center"/>
              <w:rPr>
                <w:color w:val="2D329B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12.6.</w:t>
            </w:r>
          </w:p>
        </w:tc>
        <w:tc>
          <w:tcPr>
            <w:tcW w:w="6237" w:type="dxa"/>
            <w:vAlign w:val="center"/>
          </w:tcPr>
          <w:p w:rsidR="00E60C23" w:rsidRPr="00B56E61" w:rsidRDefault="00E60C23" w:rsidP="004608FC">
            <w:pPr>
              <w:ind w:firstLine="219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Более 1 400 000 руб., но не более 10 000 000 руб.;</w:t>
            </w:r>
          </w:p>
        </w:tc>
        <w:tc>
          <w:tcPr>
            <w:tcW w:w="3024" w:type="dxa"/>
            <w:vAlign w:val="center"/>
          </w:tcPr>
          <w:p w:rsidR="00E60C23" w:rsidRPr="00B56E61" w:rsidRDefault="005A5124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58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 </w:t>
            </w:r>
            <w:r w:rsidR="00E60C2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000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E00490" w:rsidRPr="00B56E61" w:rsidTr="004608FC">
        <w:trPr>
          <w:trHeight w:val="340"/>
        </w:trPr>
        <w:tc>
          <w:tcPr>
            <w:tcW w:w="862" w:type="dxa"/>
            <w:vAlign w:val="center"/>
          </w:tcPr>
          <w:p w:rsidR="00E00490" w:rsidRPr="00B56E61" w:rsidRDefault="00E00490" w:rsidP="00BD5E33">
            <w:pPr>
              <w:jc w:val="center"/>
              <w:rPr>
                <w:color w:val="2D329B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12.</w:t>
            </w:r>
            <w:r w:rsidR="00BD5E3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7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00490" w:rsidRPr="00B56E61" w:rsidRDefault="00E00490" w:rsidP="00E00490">
            <w:pPr>
              <w:ind w:firstLine="219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Более 20 000 000 руб., но не более 30 000 000 руб.;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00490" w:rsidRPr="00B56E61" w:rsidRDefault="005A5124" w:rsidP="006B575D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65</w:t>
            </w:r>
            <w:r w:rsidR="00E00490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 000,00</w:t>
            </w:r>
          </w:p>
        </w:tc>
      </w:tr>
      <w:tr w:rsidR="00E00490" w:rsidRPr="00B56E61" w:rsidTr="004608FC">
        <w:trPr>
          <w:trHeight w:val="340"/>
        </w:trPr>
        <w:tc>
          <w:tcPr>
            <w:tcW w:w="862" w:type="dxa"/>
            <w:vAlign w:val="center"/>
          </w:tcPr>
          <w:p w:rsidR="00E00490" w:rsidRPr="00B56E61" w:rsidRDefault="00E00490" w:rsidP="00BD5E33">
            <w:pPr>
              <w:jc w:val="center"/>
              <w:rPr>
                <w:color w:val="2D329B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12</w:t>
            </w:r>
            <w:r w:rsidR="00BD5E3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.8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00490" w:rsidRPr="00B56E61" w:rsidRDefault="00E00490" w:rsidP="00E00490">
            <w:pPr>
              <w:ind w:firstLine="219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Более 30 000 000 руб., но не более 50 000 000 руб.;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00490" w:rsidRPr="00B56E61" w:rsidRDefault="008C46BA" w:rsidP="006B575D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val="en-US" w:eastAsia="en-US"/>
              </w:rPr>
              <w:t>80</w:t>
            </w:r>
            <w:r w:rsidR="00E00490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 000,00</w:t>
            </w:r>
          </w:p>
        </w:tc>
      </w:tr>
      <w:tr w:rsidR="00E60C23" w:rsidRPr="00B56E61" w:rsidTr="004608FC">
        <w:trPr>
          <w:trHeight w:val="340"/>
        </w:trPr>
        <w:tc>
          <w:tcPr>
            <w:tcW w:w="862" w:type="dxa"/>
            <w:vAlign w:val="center"/>
          </w:tcPr>
          <w:p w:rsidR="00E60C23" w:rsidRPr="00B56E61" w:rsidRDefault="00E60C23" w:rsidP="00BD5E33">
            <w:pPr>
              <w:jc w:val="center"/>
              <w:rPr>
                <w:color w:val="2D329B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12.</w:t>
            </w:r>
            <w:r w:rsidR="00BD5E3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9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E60C23" w:rsidRPr="00B56E61" w:rsidRDefault="00E60C23" w:rsidP="004608FC">
            <w:pPr>
              <w:ind w:firstLine="219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Более 50 000 000 руб., но не более 100 000 000 руб.;</w:t>
            </w:r>
          </w:p>
        </w:tc>
        <w:tc>
          <w:tcPr>
            <w:tcW w:w="3024" w:type="dxa"/>
            <w:vAlign w:val="center"/>
          </w:tcPr>
          <w:p w:rsidR="00E60C23" w:rsidRPr="00B56E61" w:rsidRDefault="008C46BA" w:rsidP="00E00490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15</w:t>
            </w:r>
            <w:r w:rsidR="00E60C2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 </w:t>
            </w:r>
            <w:r w:rsidR="00E60C2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000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B56E61" w:rsidTr="004608FC">
        <w:trPr>
          <w:trHeight w:val="340"/>
        </w:trPr>
        <w:tc>
          <w:tcPr>
            <w:tcW w:w="862" w:type="dxa"/>
            <w:vAlign w:val="center"/>
          </w:tcPr>
          <w:p w:rsidR="00E60C23" w:rsidRPr="00B56E61" w:rsidRDefault="00E60C23" w:rsidP="00BD5E33">
            <w:pPr>
              <w:jc w:val="center"/>
              <w:rPr>
                <w:color w:val="2D329B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12.</w:t>
            </w:r>
            <w:r w:rsidR="00E00490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</w:t>
            </w:r>
            <w:r w:rsidR="00BD5E3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E60C23" w:rsidRPr="00B56E61" w:rsidRDefault="00E60C23" w:rsidP="004608FC">
            <w:pPr>
              <w:ind w:firstLine="219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Более 100 000 000 руб., но не более 250 000 000 руб.;</w:t>
            </w:r>
          </w:p>
        </w:tc>
        <w:tc>
          <w:tcPr>
            <w:tcW w:w="3024" w:type="dxa"/>
            <w:vAlign w:val="center"/>
          </w:tcPr>
          <w:p w:rsidR="00E60C23" w:rsidRPr="00B56E61" w:rsidRDefault="008C46BA" w:rsidP="00E00490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20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0 000,00</w:t>
            </w:r>
          </w:p>
        </w:tc>
      </w:tr>
      <w:tr w:rsidR="00E60C23" w:rsidRPr="00B56E61" w:rsidTr="004608FC">
        <w:trPr>
          <w:trHeight w:val="340"/>
        </w:trPr>
        <w:tc>
          <w:tcPr>
            <w:tcW w:w="862" w:type="dxa"/>
            <w:vAlign w:val="center"/>
          </w:tcPr>
          <w:p w:rsidR="00E60C23" w:rsidRPr="00B56E61" w:rsidRDefault="00E60C23" w:rsidP="00BD5E33">
            <w:pPr>
              <w:jc w:val="center"/>
              <w:rPr>
                <w:color w:val="2D329B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12.1</w:t>
            </w:r>
            <w:r w:rsidR="00BD5E3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E60C23" w:rsidRPr="00B56E61" w:rsidRDefault="00E60C23" w:rsidP="004608FC">
            <w:pPr>
              <w:ind w:firstLine="219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Более 250 000 000 руб., но не более 500 000 000 руб.;</w:t>
            </w:r>
          </w:p>
        </w:tc>
        <w:tc>
          <w:tcPr>
            <w:tcW w:w="3024" w:type="dxa"/>
            <w:vAlign w:val="center"/>
          </w:tcPr>
          <w:p w:rsidR="00E60C23" w:rsidRPr="00B56E61" w:rsidRDefault="0047300B" w:rsidP="00827BC5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30</w:t>
            </w:r>
            <w:r w:rsidR="00827BC5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 </w:t>
            </w:r>
            <w:r w:rsidR="00E60C2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000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B56E61" w:rsidTr="004608FC">
        <w:trPr>
          <w:trHeight w:val="340"/>
        </w:trPr>
        <w:tc>
          <w:tcPr>
            <w:tcW w:w="862" w:type="dxa"/>
            <w:vAlign w:val="center"/>
          </w:tcPr>
          <w:p w:rsidR="00E60C23" w:rsidRPr="00B56E61" w:rsidRDefault="00E60C23" w:rsidP="00BD5E33">
            <w:pPr>
              <w:jc w:val="center"/>
              <w:rPr>
                <w:color w:val="2D329B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12.1</w:t>
            </w:r>
            <w:r w:rsidR="00BD5E3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2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E60C23" w:rsidRPr="00B56E61" w:rsidRDefault="00E60C23" w:rsidP="004608FC">
            <w:pPr>
              <w:ind w:firstLine="219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Более 500 000 000 руб., но не более 750 000 000 руб.;</w:t>
            </w:r>
          </w:p>
        </w:tc>
        <w:tc>
          <w:tcPr>
            <w:tcW w:w="3024" w:type="dxa"/>
            <w:vAlign w:val="center"/>
          </w:tcPr>
          <w:p w:rsidR="00E60C23" w:rsidRPr="00B56E61" w:rsidRDefault="0047300B" w:rsidP="00827BC5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35</w:t>
            </w:r>
            <w:r w:rsidR="00827BC5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 </w:t>
            </w:r>
            <w:r w:rsidR="00E60C2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000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B56E61" w:rsidTr="004608FC">
        <w:trPr>
          <w:trHeight w:val="340"/>
        </w:trPr>
        <w:tc>
          <w:tcPr>
            <w:tcW w:w="862" w:type="dxa"/>
            <w:vAlign w:val="center"/>
          </w:tcPr>
          <w:p w:rsidR="00E60C23" w:rsidRPr="00B56E61" w:rsidRDefault="00E60C23" w:rsidP="00BD5E33">
            <w:pPr>
              <w:jc w:val="center"/>
              <w:rPr>
                <w:color w:val="2D329B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12.1</w:t>
            </w:r>
            <w:r w:rsidR="00BD5E3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3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E60C23" w:rsidRPr="00B56E61" w:rsidRDefault="00E60C23" w:rsidP="004608FC">
            <w:pPr>
              <w:ind w:firstLine="219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Более 750 000 000 руб.</w:t>
            </w:r>
          </w:p>
        </w:tc>
        <w:tc>
          <w:tcPr>
            <w:tcW w:w="3024" w:type="dxa"/>
            <w:vAlign w:val="center"/>
          </w:tcPr>
          <w:p w:rsidR="00E60C23" w:rsidRPr="00B56E61" w:rsidRDefault="0047300B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40</w:t>
            </w:r>
            <w:r w:rsidR="00827BC5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 </w:t>
            </w:r>
            <w:r w:rsidR="00E60C23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000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B56E61" w:rsidTr="004608FC">
        <w:trPr>
          <w:trHeight w:val="340"/>
        </w:trPr>
        <w:tc>
          <w:tcPr>
            <w:tcW w:w="862" w:type="dxa"/>
            <w:vAlign w:val="center"/>
          </w:tcPr>
          <w:p w:rsidR="00E60C23" w:rsidRPr="00B56E61" w:rsidRDefault="00E60C23" w:rsidP="004608FC">
            <w:pPr>
              <w:jc w:val="center"/>
              <w:rPr>
                <w:color w:val="2D329B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</w:t>
            </w:r>
            <w:r w:rsidR="00B86487" w:rsidRPr="00B56E61">
              <w:rPr>
                <w:rFonts w:eastAsiaTheme="minorHAnsi"/>
                <w:color w:val="2D329B"/>
                <w:sz w:val="18"/>
                <w:szCs w:val="18"/>
                <w:lang w:val="en-US" w:eastAsia="en-US"/>
              </w:rPr>
              <w:t>3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tcBorders>
              <w:bottom w:val="single" w:sz="4" w:space="0" w:color="auto"/>
            </w:tcBorders>
            <w:vAlign w:val="center"/>
          </w:tcPr>
          <w:p w:rsidR="00E60C23" w:rsidRPr="00B56E61" w:rsidRDefault="00E60C23" w:rsidP="004608FC">
            <w:pPr>
              <w:ind w:left="214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Внесение записи о списании и зачислении ценных бумаг в результате реорганизации юридического лица:</w:t>
            </w:r>
          </w:p>
        </w:tc>
      </w:tr>
      <w:tr w:rsidR="00E60C23" w:rsidRPr="00B56E61" w:rsidTr="004608FC">
        <w:trPr>
          <w:trHeight w:val="340"/>
        </w:trPr>
        <w:tc>
          <w:tcPr>
            <w:tcW w:w="862" w:type="dxa"/>
            <w:vAlign w:val="center"/>
          </w:tcPr>
          <w:p w:rsidR="00E60C23" w:rsidRPr="00B56E61" w:rsidRDefault="00E60C23" w:rsidP="004608FC">
            <w:pPr>
              <w:jc w:val="center"/>
              <w:rPr>
                <w:color w:val="2D329B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</w:t>
            </w:r>
            <w:r w:rsidR="00B86487" w:rsidRPr="00B56E61">
              <w:rPr>
                <w:rFonts w:eastAsiaTheme="minorHAnsi"/>
                <w:color w:val="2D329B"/>
                <w:sz w:val="18"/>
                <w:szCs w:val="18"/>
                <w:lang w:val="en-US" w:eastAsia="en-US"/>
              </w:rPr>
              <w:t>3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B56E61" w:rsidRDefault="00E60C23" w:rsidP="004608FC">
            <w:pPr>
              <w:ind w:firstLine="219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В форме преобразования в совокупности за обе операции;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B56E61" w:rsidRDefault="00E60C2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3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 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000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B56E61" w:rsidTr="004608FC">
        <w:trPr>
          <w:trHeight w:val="510"/>
        </w:trPr>
        <w:tc>
          <w:tcPr>
            <w:tcW w:w="862" w:type="dxa"/>
            <w:vAlign w:val="center"/>
          </w:tcPr>
          <w:p w:rsidR="00E60C23" w:rsidRPr="00B56E61" w:rsidRDefault="00E60C23" w:rsidP="004608FC">
            <w:pPr>
              <w:jc w:val="center"/>
              <w:rPr>
                <w:color w:val="2D329B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</w:t>
            </w:r>
            <w:r w:rsidR="00B86487" w:rsidRPr="00B56E61">
              <w:rPr>
                <w:rFonts w:eastAsiaTheme="minorHAnsi"/>
                <w:color w:val="2D329B"/>
                <w:sz w:val="18"/>
                <w:szCs w:val="18"/>
                <w:lang w:val="en-US" w:eastAsia="en-US"/>
              </w:rPr>
              <w:t>3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B56E61" w:rsidRDefault="00E60C23" w:rsidP="004608FC">
            <w:pPr>
              <w:ind w:firstLine="219"/>
              <w:jc w:val="both"/>
              <w:rPr>
                <w:rFonts w:eastAsiaTheme="minorHAnsi"/>
                <w:color w:val="2D329B"/>
                <w:sz w:val="18"/>
                <w:szCs w:val="18"/>
                <w:lang w:val="en-US"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При иных формах реорганизации</w:t>
            </w:r>
            <w:r w:rsidR="00B9341E" w:rsidRPr="00B56E61">
              <w:rPr>
                <w:rFonts w:eastAsiaTheme="minorHAnsi"/>
                <w:color w:val="2D329B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B56E61" w:rsidRDefault="00E60C23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  <w:tr w:rsidR="00922208" w:rsidRPr="00B56E61" w:rsidTr="004608FC">
        <w:trPr>
          <w:trHeight w:val="850"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22208" w:rsidRPr="00B56E61" w:rsidRDefault="00922208" w:rsidP="004608FC">
            <w:pPr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1</w:t>
            </w:r>
            <w:r w:rsidR="00B86487" w:rsidRPr="00B56E61">
              <w:rPr>
                <w:rFonts w:eastAsiaTheme="minorHAnsi"/>
                <w:color w:val="2D329B"/>
                <w:sz w:val="18"/>
                <w:szCs w:val="18"/>
                <w:lang w:val="en-US" w:eastAsia="en-US"/>
              </w:rPr>
              <w:t>4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22208" w:rsidRPr="00B56E61" w:rsidRDefault="00922208" w:rsidP="004608FC">
            <w:pPr>
              <w:ind w:left="214" w:firstLine="5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эскроу-агента и зачислении ценных бумаг на лицевой счет зарегистрированного лица – бенефициара по договору эскроу, в совокупности за обе операции.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922208" w:rsidRPr="00B56E61" w:rsidRDefault="009E592C" w:rsidP="004608FC">
            <w:pPr>
              <w:ind w:hanging="104"/>
              <w:jc w:val="center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</w:tbl>
    <w:p w:rsidR="00114744" w:rsidRPr="00B56E61" w:rsidRDefault="00114744">
      <w:pPr>
        <w:ind w:left="-709" w:right="-285"/>
        <w:rPr>
          <w:rFonts w:eastAsiaTheme="minorHAnsi"/>
          <w:color w:val="2D329B"/>
          <w:sz w:val="18"/>
          <w:szCs w:val="18"/>
          <w:lang w:eastAsia="en-US"/>
        </w:rPr>
      </w:pP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23"/>
      </w:tblGrid>
      <w:tr w:rsidR="00925302" w:rsidRPr="00B56E61" w:rsidTr="00925302">
        <w:trPr>
          <w:trHeight w:val="2389"/>
        </w:trPr>
        <w:tc>
          <w:tcPr>
            <w:tcW w:w="10123" w:type="dxa"/>
            <w:vAlign w:val="center"/>
          </w:tcPr>
          <w:p w:rsidR="00925302" w:rsidRPr="00B56E61" w:rsidRDefault="00925302" w:rsidP="00172FBC">
            <w:pPr>
              <w:ind w:left="83" w:right="119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r w:rsidRPr="00B56E61">
              <w:rPr>
                <w:rFonts w:eastAsiaTheme="minorHAnsi"/>
                <w:color w:val="2D329B"/>
                <w:sz w:val="18"/>
                <w:szCs w:val="18"/>
                <w:vertAlign w:val="superscript"/>
                <w:lang w:eastAsia="en-US"/>
              </w:rPr>
              <w:t>1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925302" w:rsidRPr="00B56E61" w:rsidRDefault="00925302" w:rsidP="00172FBC">
            <w:pPr>
              <w:ind w:left="83" w:right="119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</w:p>
          <w:p w:rsidR="00925302" w:rsidRPr="00B56E61" w:rsidRDefault="00925302" w:rsidP="00172FBC">
            <w:pPr>
              <w:ind w:left="83" w:right="119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  <w:proofErr w:type="gramStart"/>
            <w:r w:rsidRPr="00B56E61">
              <w:rPr>
                <w:rFonts w:eastAsiaTheme="minorHAnsi"/>
                <w:color w:val="2D329B"/>
                <w:sz w:val="18"/>
                <w:szCs w:val="18"/>
                <w:vertAlign w:val="superscript"/>
                <w:lang w:eastAsia="en-US"/>
              </w:rPr>
              <w:t>2</w:t>
            </w:r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B56E61">
              <w:rPr>
                <w:rFonts w:eastAsiaTheme="minorHAnsi"/>
                <w:color w:val="2D329B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925302" w:rsidRPr="00B56E61" w:rsidRDefault="00925302" w:rsidP="00172FBC">
            <w:pPr>
              <w:ind w:left="83" w:right="119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</w:p>
          <w:p w:rsidR="00925302" w:rsidRPr="00B56E61" w:rsidRDefault="00925302" w:rsidP="00172FBC">
            <w:pPr>
              <w:ind w:left="83" w:right="119"/>
              <w:jc w:val="both"/>
              <w:rPr>
                <w:rFonts w:eastAsiaTheme="minorHAnsi"/>
                <w:color w:val="2D329B"/>
                <w:sz w:val="18"/>
                <w:szCs w:val="18"/>
                <w:lang w:eastAsia="en-US"/>
              </w:rPr>
            </w:pPr>
          </w:p>
        </w:tc>
      </w:tr>
    </w:tbl>
    <w:p w:rsidR="00925302" w:rsidRPr="00B56E61" w:rsidRDefault="00925302">
      <w:pPr>
        <w:ind w:left="-709" w:right="-285"/>
        <w:rPr>
          <w:color w:val="2D329B"/>
          <w:sz w:val="18"/>
          <w:szCs w:val="18"/>
        </w:rPr>
      </w:pPr>
    </w:p>
    <w:sectPr w:rsidR="00925302" w:rsidRPr="00B56E61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AE" w:rsidRDefault="001966AE" w:rsidP="000A11AE">
      <w:r>
        <w:separator/>
      </w:r>
    </w:p>
  </w:endnote>
  <w:endnote w:type="continuationSeparator" w:id="0">
    <w:p w:rsidR="001966AE" w:rsidRDefault="001966AE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BC" w:rsidRDefault="00172FBC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AE" w:rsidRDefault="001966AE" w:rsidP="000A11AE">
      <w:r>
        <w:separator/>
      </w:r>
    </w:p>
  </w:footnote>
  <w:footnote w:type="continuationSeparator" w:id="0">
    <w:p w:rsidR="001966AE" w:rsidRDefault="001966AE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3E1F"/>
    <w:rsid w:val="000B4DC8"/>
    <w:rsid w:val="00114744"/>
    <w:rsid w:val="00130BF6"/>
    <w:rsid w:val="00144D57"/>
    <w:rsid w:val="001513B3"/>
    <w:rsid w:val="00153370"/>
    <w:rsid w:val="001538A4"/>
    <w:rsid w:val="00172FBC"/>
    <w:rsid w:val="00180C90"/>
    <w:rsid w:val="00186B2C"/>
    <w:rsid w:val="00194844"/>
    <w:rsid w:val="001966AE"/>
    <w:rsid w:val="001B084E"/>
    <w:rsid w:val="001E4D4B"/>
    <w:rsid w:val="002264DB"/>
    <w:rsid w:val="00276AD6"/>
    <w:rsid w:val="0030516C"/>
    <w:rsid w:val="00331D96"/>
    <w:rsid w:val="00340761"/>
    <w:rsid w:val="0037494B"/>
    <w:rsid w:val="003957CE"/>
    <w:rsid w:val="003973D1"/>
    <w:rsid w:val="003E6A3F"/>
    <w:rsid w:val="0042266F"/>
    <w:rsid w:val="00426629"/>
    <w:rsid w:val="00432E38"/>
    <w:rsid w:val="00434786"/>
    <w:rsid w:val="00436A57"/>
    <w:rsid w:val="00451EDA"/>
    <w:rsid w:val="004608FC"/>
    <w:rsid w:val="00471A34"/>
    <w:rsid w:val="0047300B"/>
    <w:rsid w:val="004824CA"/>
    <w:rsid w:val="00485005"/>
    <w:rsid w:val="0051750D"/>
    <w:rsid w:val="00526A10"/>
    <w:rsid w:val="00543BE7"/>
    <w:rsid w:val="005538E9"/>
    <w:rsid w:val="00566311"/>
    <w:rsid w:val="00587E3E"/>
    <w:rsid w:val="005A376C"/>
    <w:rsid w:val="005A5124"/>
    <w:rsid w:val="005E0F94"/>
    <w:rsid w:val="005F4CF1"/>
    <w:rsid w:val="00644269"/>
    <w:rsid w:val="00650C35"/>
    <w:rsid w:val="00692CD9"/>
    <w:rsid w:val="006964BC"/>
    <w:rsid w:val="00697B1A"/>
    <w:rsid w:val="006A7B4C"/>
    <w:rsid w:val="006B61D9"/>
    <w:rsid w:val="00705D86"/>
    <w:rsid w:val="00771DC5"/>
    <w:rsid w:val="00796EA8"/>
    <w:rsid w:val="007A50AA"/>
    <w:rsid w:val="007A64A2"/>
    <w:rsid w:val="007C6254"/>
    <w:rsid w:val="007D404C"/>
    <w:rsid w:val="007F6022"/>
    <w:rsid w:val="00826BF2"/>
    <w:rsid w:val="008274CB"/>
    <w:rsid w:val="00827BC5"/>
    <w:rsid w:val="0089195D"/>
    <w:rsid w:val="008932F4"/>
    <w:rsid w:val="008B6F82"/>
    <w:rsid w:val="008C46BA"/>
    <w:rsid w:val="008D3FF3"/>
    <w:rsid w:val="008F550A"/>
    <w:rsid w:val="0090089B"/>
    <w:rsid w:val="0091611B"/>
    <w:rsid w:val="00922208"/>
    <w:rsid w:val="00925302"/>
    <w:rsid w:val="0095743B"/>
    <w:rsid w:val="009A5D7B"/>
    <w:rsid w:val="009E592C"/>
    <w:rsid w:val="00A0626D"/>
    <w:rsid w:val="00A21820"/>
    <w:rsid w:val="00A31659"/>
    <w:rsid w:val="00A34968"/>
    <w:rsid w:val="00A866D9"/>
    <w:rsid w:val="00A86C14"/>
    <w:rsid w:val="00A9050A"/>
    <w:rsid w:val="00AB1DDC"/>
    <w:rsid w:val="00AC3626"/>
    <w:rsid w:val="00AC3B9A"/>
    <w:rsid w:val="00AE5C99"/>
    <w:rsid w:val="00B13CD3"/>
    <w:rsid w:val="00B25C15"/>
    <w:rsid w:val="00B32485"/>
    <w:rsid w:val="00B37BE6"/>
    <w:rsid w:val="00B44849"/>
    <w:rsid w:val="00B517F3"/>
    <w:rsid w:val="00B56E61"/>
    <w:rsid w:val="00B64D8A"/>
    <w:rsid w:val="00B66D0E"/>
    <w:rsid w:val="00B86487"/>
    <w:rsid w:val="00B9341E"/>
    <w:rsid w:val="00B97659"/>
    <w:rsid w:val="00BA456F"/>
    <w:rsid w:val="00BD5E33"/>
    <w:rsid w:val="00BE1D46"/>
    <w:rsid w:val="00BF1EF3"/>
    <w:rsid w:val="00BF2453"/>
    <w:rsid w:val="00C64F53"/>
    <w:rsid w:val="00C671EC"/>
    <w:rsid w:val="00C74990"/>
    <w:rsid w:val="00CA3FA1"/>
    <w:rsid w:val="00CB297A"/>
    <w:rsid w:val="00CB419D"/>
    <w:rsid w:val="00CD1C83"/>
    <w:rsid w:val="00CF1C90"/>
    <w:rsid w:val="00D34A58"/>
    <w:rsid w:val="00D35C69"/>
    <w:rsid w:val="00D40E37"/>
    <w:rsid w:val="00D75FC9"/>
    <w:rsid w:val="00D9609A"/>
    <w:rsid w:val="00D97338"/>
    <w:rsid w:val="00DA6EA5"/>
    <w:rsid w:val="00DD2E56"/>
    <w:rsid w:val="00DD6BE8"/>
    <w:rsid w:val="00E00490"/>
    <w:rsid w:val="00E023AD"/>
    <w:rsid w:val="00E115C1"/>
    <w:rsid w:val="00E1312B"/>
    <w:rsid w:val="00E5249A"/>
    <w:rsid w:val="00E60C23"/>
    <w:rsid w:val="00E72666"/>
    <w:rsid w:val="00E83454"/>
    <w:rsid w:val="00EA1CB4"/>
    <w:rsid w:val="00EE2F45"/>
    <w:rsid w:val="00EE618B"/>
    <w:rsid w:val="00FB7FC0"/>
    <w:rsid w:val="00FF52AD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543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0A578-0492-4574-B25F-6C4452A7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3</cp:revision>
  <cp:lastPrinted>2023-11-20T09:38:00Z</cp:lastPrinted>
  <dcterms:created xsi:type="dcterms:W3CDTF">2023-11-20T09:39:00Z</dcterms:created>
  <dcterms:modified xsi:type="dcterms:W3CDTF">2023-11-20T11:33:00Z</dcterms:modified>
</cp:coreProperties>
</file>